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82" w:rsidRDefault="00450A27" w:rsidP="00E57419">
      <w:pPr>
        <w:pStyle w:val="a3"/>
        <w:jc w:val="right"/>
        <w:rPr>
          <w:rFonts w:ascii="Times New Roman" w:hAnsi="Times New Roman" w:cs="Times New Roman"/>
          <w:b/>
          <w:sz w:val="28"/>
        </w:rPr>
      </w:pPr>
      <w:r w:rsidRPr="00136482">
        <w:rPr>
          <w:rFonts w:ascii="Times New Roman" w:hAnsi="Times New Roman" w:cs="Times New Roman"/>
          <w:b/>
          <w:sz w:val="28"/>
        </w:rPr>
        <w:t>Уполномоченн</w:t>
      </w:r>
      <w:r w:rsidR="00E57419">
        <w:rPr>
          <w:rFonts w:ascii="Times New Roman" w:hAnsi="Times New Roman" w:cs="Times New Roman"/>
          <w:b/>
          <w:sz w:val="28"/>
        </w:rPr>
        <w:t>ый</w:t>
      </w:r>
      <w:r w:rsidRPr="00136482">
        <w:rPr>
          <w:rFonts w:ascii="Times New Roman" w:hAnsi="Times New Roman" w:cs="Times New Roman"/>
          <w:b/>
          <w:sz w:val="28"/>
        </w:rPr>
        <w:t xml:space="preserve"> по правам человека в Пермском крае </w:t>
      </w:r>
      <w:r w:rsidR="00E57419">
        <w:rPr>
          <w:rFonts w:ascii="Times New Roman" w:hAnsi="Times New Roman" w:cs="Times New Roman"/>
          <w:b/>
          <w:sz w:val="28"/>
        </w:rPr>
        <w:t xml:space="preserve">Павел </w:t>
      </w:r>
      <w:proofErr w:type="spellStart"/>
      <w:r w:rsidR="00E57419">
        <w:rPr>
          <w:rFonts w:ascii="Times New Roman" w:hAnsi="Times New Roman" w:cs="Times New Roman"/>
          <w:b/>
          <w:sz w:val="28"/>
        </w:rPr>
        <w:t>Миков</w:t>
      </w:r>
      <w:proofErr w:type="spellEnd"/>
      <w:r w:rsidR="00E57419">
        <w:rPr>
          <w:rFonts w:ascii="Times New Roman" w:hAnsi="Times New Roman" w:cs="Times New Roman"/>
          <w:b/>
          <w:sz w:val="28"/>
        </w:rPr>
        <w:t>, заседание</w:t>
      </w:r>
      <w:r w:rsidRPr="00136482">
        <w:rPr>
          <w:rFonts w:ascii="Times New Roman" w:hAnsi="Times New Roman" w:cs="Times New Roman"/>
          <w:b/>
          <w:sz w:val="28"/>
        </w:rPr>
        <w:t xml:space="preserve"> Координационного Совета </w:t>
      </w:r>
    </w:p>
    <w:p w:rsidR="00450A27" w:rsidRPr="00136482" w:rsidRDefault="00450A27" w:rsidP="00E57419">
      <w:pPr>
        <w:pStyle w:val="a3"/>
        <w:jc w:val="right"/>
        <w:rPr>
          <w:rFonts w:ascii="Times New Roman" w:hAnsi="Times New Roman" w:cs="Times New Roman"/>
          <w:b/>
          <w:sz w:val="28"/>
        </w:rPr>
      </w:pPr>
      <w:r w:rsidRPr="00136482">
        <w:rPr>
          <w:rFonts w:ascii="Times New Roman" w:hAnsi="Times New Roman" w:cs="Times New Roman"/>
          <w:b/>
          <w:sz w:val="28"/>
        </w:rPr>
        <w:t>«О роли некоммерческих организаций в обеспечении прав человека в условиях пандемии»</w:t>
      </w:r>
    </w:p>
    <w:p w:rsidR="00450A27" w:rsidRDefault="00450A27" w:rsidP="00E57419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E57767" w:rsidRDefault="00E57767" w:rsidP="00E5776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Введение карантина и объявление режима </w:t>
      </w:r>
      <w:proofErr w:type="gramStart"/>
      <w:r>
        <w:rPr>
          <w:color w:val="000000"/>
          <w:sz w:val="27"/>
          <w:szCs w:val="27"/>
        </w:rPr>
        <w:t>самоизоляции</w:t>
      </w:r>
      <w:proofErr w:type="gramEnd"/>
      <w:r>
        <w:rPr>
          <w:color w:val="000000"/>
          <w:sz w:val="27"/>
          <w:szCs w:val="27"/>
        </w:rPr>
        <w:t xml:space="preserve"> так или иначе затрагивает всех жителей РФ, однако особенно трудно приходится отдельным категориям населения, которые и до пандемии были в группе риска.</w:t>
      </w:r>
    </w:p>
    <w:p w:rsidR="00E57767" w:rsidRDefault="00E57767" w:rsidP="00E5776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Центр перспективных управленческих решений совместно с оргкомитетом Общероссийского гражданского форума выявил 24 уязвимые группы населения в период распространения инфекции COVID-19. Среди них:</w:t>
      </w:r>
    </w:p>
    <w:p w:rsidR="00E57767" w:rsidRDefault="00E57767" w:rsidP="00E5776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дети в детских домах,</w:t>
      </w:r>
    </w:p>
    <w:p w:rsidR="00E57767" w:rsidRDefault="00E57767" w:rsidP="00E5776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люди с инвалидностью,</w:t>
      </w:r>
    </w:p>
    <w:p w:rsidR="00E57767" w:rsidRDefault="00E57767" w:rsidP="00E5776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подопечные психоневрологических интернатов и домов престарелых,</w:t>
      </w:r>
    </w:p>
    <w:p w:rsidR="00E57767" w:rsidRDefault="00E57767" w:rsidP="00E5776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пожилые люди без </w:t>
      </w:r>
      <w:proofErr w:type="spellStart"/>
      <w:r>
        <w:rPr>
          <w:color w:val="000000"/>
          <w:sz w:val="27"/>
          <w:szCs w:val="27"/>
        </w:rPr>
        <w:t>онлайн-навыков</w:t>
      </w:r>
      <w:proofErr w:type="spellEnd"/>
      <w:r>
        <w:rPr>
          <w:color w:val="000000"/>
          <w:sz w:val="27"/>
          <w:szCs w:val="27"/>
        </w:rPr>
        <w:t>,</w:t>
      </w:r>
    </w:p>
    <w:p w:rsidR="00E57767" w:rsidRDefault="00E57767" w:rsidP="00E5776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больные ВИЧ,</w:t>
      </w:r>
    </w:p>
    <w:p w:rsidR="00E57767" w:rsidRDefault="00E57767" w:rsidP="00E5776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бездомные,</w:t>
      </w:r>
    </w:p>
    <w:p w:rsidR="00E57767" w:rsidRDefault="00E57767" w:rsidP="00E5776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заключенные,</w:t>
      </w:r>
    </w:p>
    <w:p w:rsidR="00E57767" w:rsidRDefault="00E57767" w:rsidP="00E5776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волонтеры,</w:t>
      </w:r>
    </w:p>
    <w:p w:rsidR="00E57767" w:rsidRDefault="00E57767" w:rsidP="00E5776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медики,</w:t>
      </w:r>
    </w:p>
    <w:p w:rsidR="00E57767" w:rsidRDefault="00E57767" w:rsidP="00E5776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-домашний </w:t>
      </w:r>
      <w:proofErr w:type="spellStart"/>
      <w:r>
        <w:rPr>
          <w:color w:val="000000"/>
          <w:sz w:val="27"/>
          <w:szCs w:val="27"/>
        </w:rPr>
        <w:t>уходовый</w:t>
      </w:r>
      <w:proofErr w:type="spellEnd"/>
      <w:r>
        <w:rPr>
          <w:color w:val="000000"/>
          <w:sz w:val="27"/>
          <w:szCs w:val="27"/>
        </w:rPr>
        <w:t xml:space="preserve"> персонал,</w:t>
      </w:r>
    </w:p>
    <w:p w:rsidR="00E57767" w:rsidRDefault="00E57767" w:rsidP="00E5776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призывники,</w:t>
      </w:r>
    </w:p>
    <w:p w:rsidR="00E57767" w:rsidRDefault="00E57767" w:rsidP="00E5776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студенты в общежитиях,</w:t>
      </w:r>
    </w:p>
    <w:p w:rsidR="00E57767" w:rsidRDefault="00E57767" w:rsidP="00E5776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мигранты,</w:t>
      </w:r>
    </w:p>
    <w:p w:rsidR="00E57767" w:rsidRDefault="00E57767" w:rsidP="00E5776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работники неформального сектора,</w:t>
      </w:r>
    </w:p>
    <w:p w:rsidR="00E57767" w:rsidRDefault="00E57767" w:rsidP="00E5776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 также работники формального сектора, столкнувшиеся с нарушением трудовых прав</w:t>
      </w:r>
    </w:p>
    <w:p w:rsidR="00E57767" w:rsidRDefault="00E57767" w:rsidP="00E5776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другие</w:t>
      </w:r>
    </w:p>
    <w:p w:rsidR="00E57767" w:rsidRDefault="00E57767" w:rsidP="00E5776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Помощь уязвимым категориям населения в той или иной степени оказывают как органы власти разного уровня, так и коммерческие компании и предприниматели, волонтерские центры, местные жители. На федеральном уровне, как известно, для поддержки населения в условиях распространения </w:t>
      </w:r>
      <w:proofErr w:type="spellStart"/>
      <w:r>
        <w:rPr>
          <w:color w:val="000000"/>
          <w:sz w:val="27"/>
          <w:szCs w:val="27"/>
        </w:rPr>
        <w:t>коронавирусной</w:t>
      </w:r>
      <w:proofErr w:type="spellEnd"/>
      <w:r>
        <w:rPr>
          <w:color w:val="000000"/>
          <w:sz w:val="27"/>
          <w:szCs w:val="27"/>
        </w:rPr>
        <w:t xml:space="preserve"> инфекции Общероссийский народный фронт, Всероссийское общественное движение «Волонтеры-медики» и Ассоциация волонтерских центров запустили проект #</w:t>
      </w:r>
      <w:proofErr w:type="spellStart"/>
      <w:r>
        <w:rPr>
          <w:color w:val="000000"/>
          <w:sz w:val="27"/>
          <w:szCs w:val="27"/>
        </w:rPr>
        <w:t>Мывместе</w:t>
      </w:r>
      <w:proofErr w:type="spellEnd"/>
      <w:r>
        <w:rPr>
          <w:color w:val="000000"/>
          <w:sz w:val="27"/>
          <w:szCs w:val="27"/>
        </w:rPr>
        <w:t xml:space="preserve">. Активно включаются в помощь </w:t>
      </w:r>
      <w:proofErr w:type="gramStart"/>
      <w:r>
        <w:rPr>
          <w:color w:val="000000"/>
          <w:sz w:val="27"/>
          <w:szCs w:val="27"/>
        </w:rPr>
        <w:t>нуждающимся</w:t>
      </w:r>
      <w:proofErr w:type="gramEnd"/>
      <w:r>
        <w:rPr>
          <w:color w:val="000000"/>
          <w:sz w:val="27"/>
          <w:szCs w:val="27"/>
        </w:rPr>
        <w:t xml:space="preserve"> и некоммерческие организации. По данным Росстата, по состоянию на 2018 год в России функционируют более 140 тыс. социально ориентированных некоммерческих организаций, в них работают почти 600 тыс. сотрудников и почти 3 </w:t>
      </w:r>
      <w:proofErr w:type="spellStart"/>
      <w:r>
        <w:rPr>
          <w:color w:val="000000"/>
          <w:sz w:val="27"/>
          <w:szCs w:val="27"/>
        </w:rPr>
        <w:t>млн</w:t>
      </w:r>
      <w:proofErr w:type="spellEnd"/>
      <w:r>
        <w:rPr>
          <w:color w:val="000000"/>
          <w:sz w:val="27"/>
          <w:szCs w:val="27"/>
        </w:rPr>
        <w:t xml:space="preserve"> волонтеров.1</w:t>
      </w:r>
      <w:proofErr w:type="gramStart"/>
      <w:r>
        <w:rPr>
          <w:color w:val="000000"/>
          <w:sz w:val="27"/>
          <w:szCs w:val="27"/>
        </w:rPr>
        <w:t xml:space="preserve"> В</w:t>
      </w:r>
      <w:proofErr w:type="gramEnd"/>
      <w:r>
        <w:rPr>
          <w:color w:val="000000"/>
          <w:sz w:val="27"/>
          <w:szCs w:val="27"/>
        </w:rPr>
        <w:t xml:space="preserve"> ситуации тяжелой эпидемиологической ситуации НКО демонстрируют высокую гибкость и оперативно переориентируют свою деятельность под оказание наиболее востребованных услуг «здесь и сейчас», с акцентом на защиту наиболее уязвимых групп. Российские НКО, как правило, вносят свой вклад по следующим основным направлениям:</w:t>
      </w:r>
    </w:p>
    <w:p w:rsidR="00E57767" w:rsidRDefault="00E57767" w:rsidP="00E5776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помощь отдельным категориям нуждающихся, в первую очередь, обеспечение уязвимых категорий населения продуктами питания, товарами первой необходимости и средствами защиты,</w:t>
      </w:r>
    </w:p>
    <w:p w:rsidR="00E57767" w:rsidRDefault="00E57767" w:rsidP="00E5776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поддержка учреждений здравоохранения и медицинских работников,</w:t>
      </w:r>
    </w:p>
    <w:p w:rsidR="00E57767" w:rsidRDefault="00E57767" w:rsidP="00E5776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психологическая помощь,</w:t>
      </w:r>
    </w:p>
    <w:p w:rsidR="00E57767" w:rsidRDefault="00E57767" w:rsidP="00E5776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юридическая помощь,</w:t>
      </w:r>
    </w:p>
    <w:p w:rsidR="00E57767" w:rsidRDefault="00E57767" w:rsidP="00E5776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информационная поддержка,</w:t>
      </w:r>
    </w:p>
    <w:p w:rsidR="00E57767" w:rsidRDefault="00E57767" w:rsidP="00E5776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инфраструктурная поддержка со стороны крупных НКО,</w:t>
      </w:r>
    </w:p>
    <w:p w:rsidR="00E57767" w:rsidRDefault="00E57767" w:rsidP="00E5776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влияние НКО на принятие решений в области поддержки некоммерческого сектора в целом и отдельных социальных групп.</w:t>
      </w:r>
    </w:p>
    <w:p w:rsidR="00E57767" w:rsidRDefault="00E57767" w:rsidP="00E5776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информации Управления Министерства юстиции Российской Федерации по Пермскому краю по состоянию на 01.04.2020 в реестре зарегистрированных организаций зарегистрировано 3638 организаций, из них:</w:t>
      </w:r>
    </w:p>
    <w:p w:rsidR="00E57767" w:rsidRDefault="00E57767" w:rsidP="00E5776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иные некоммерческие организации (фонды, автономные некоммерческие организации и иные формы) – 1703;</w:t>
      </w:r>
    </w:p>
    <w:p w:rsidR="00E57767" w:rsidRDefault="00E57767" w:rsidP="00E5776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общественные объединения – 1361;</w:t>
      </w:r>
    </w:p>
    <w:p w:rsidR="00E57767" w:rsidRDefault="00E57767" w:rsidP="00E5776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региональные отделения политических партий – 43;</w:t>
      </w:r>
    </w:p>
    <w:p w:rsidR="00E57767" w:rsidRDefault="00E57767" w:rsidP="00E5776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религиозные организации – 494;</w:t>
      </w:r>
    </w:p>
    <w:p w:rsidR="00E57767" w:rsidRDefault="00E57767" w:rsidP="00E5776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казачьи общества – 37.</w:t>
      </w:r>
    </w:p>
    <w:p w:rsidR="00E57767" w:rsidRDefault="00E57767" w:rsidP="00E5776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По результатам первого конкурса Фонда президентских грантов 2019 года в число победителей вошли 36 проектов из Пермского края. В общей сложности проекты Пермского края получили поддержку Фонда на сумму 48,7 </w:t>
      </w:r>
      <w:proofErr w:type="spellStart"/>
      <w:proofErr w:type="gramStart"/>
      <w:r>
        <w:rPr>
          <w:color w:val="000000"/>
          <w:sz w:val="27"/>
          <w:szCs w:val="27"/>
        </w:rPr>
        <w:t>млн</w:t>
      </w:r>
      <w:proofErr w:type="spellEnd"/>
      <w:proofErr w:type="gramEnd"/>
      <w:r>
        <w:rPr>
          <w:color w:val="000000"/>
          <w:sz w:val="27"/>
          <w:szCs w:val="27"/>
        </w:rPr>
        <w:t xml:space="preserve"> рублей.</w:t>
      </w:r>
    </w:p>
    <w:p w:rsidR="00E57767" w:rsidRDefault="00E57767" w:rsidP="00E5776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итогам второго конкурса Фонда президентских грантов среди победителей – 40 некоммерческих организаций Пермского края, которые получили финансирование на развитие своих проектов в объеме порядка 80 миллионов рублей.</w:t>
      </w:r>
    </w:p>
    <w:p w:rsidR="00E57767" w:rsidRDefault="00E57767" w:rsidP="00E5776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реализацию проектов в рамках краевого конкурса социальных и гражданских инициатив в 2019 году из бюджета Пермского края было выделено 65,5 </w:t>
      </w:r>
      <w:proofErr w:type="spellStart"/>
      <w:proofErr w:type="gramStart"/>
      <w:r>
        <w:rPr>
          <w:color w:val="000000"/>
          <w:sz w:val="27"/>
          <w:szCs w:val="27"/>
        </w:rPr>
        <w:t>млн</w:t>
      </w:r>
      <w:proofErr w:type="spellEnd"/>
      <w:proofErr w:type="gramEnd"/>
      <w:r>
        <w:rPr>
          <w:color w:val="000000"/>
          <w:sz w:val="27"/>
          <w:szCs w:val="27"/>
        </w:rPr>
        <w:t xml:space="preserve"> рублей. Средства были распределены на предоставление краевых грантов социально ориентированным некоммерческим организациям (23,6 </w:t>
      </w:r>
      <w:proofErr w:type="spellStart"/>
      <w:proofErr w:type="gramStart"/>
      <w:r>
        <w:rPr>
          <w:color w:val="000000"/>
          <w:sz w:val="27"/>
          <w:szCs w:val="27"/>
        </w:rPr>
        <w:t>млн</w:t>
      </w:r>
      <w:proofErr w:type="spellEnd"/>
      <w:proofErr w:type="gramEnd"/>
      <w:r>
        <w:rPr>
          <w:color w:val="000000"/>
          <w:sz w:val="27"/>
          <w:szCs w:val="27"/>
        </w:rPr>
        <w:t xml:space="preserve"> рублей), предоставление субсидий СО НКО на реализацию долгосрочных инициатив (3,5 </w:t>
      </w:r>
      <w:proofErr w:type="spellStart"/>
      <w:r>
        <w:rPr>
          <w:color w:val="000000"/>
          <w:sz w:val="27"/>
          <w:szCs w:val="27"/>
        </w:rPr>
        <w:t>млн</w:t>
      </w:r>
      <w:proofErr w:type="spellEnd"/>
      <w:r>
        <w:rPr>
          <w:color w:val="000000"/>
          <w:sz w:val="27"/>
          <w:szCs w:val="27"/>
        </w:rPr>
        <w:t xml:space="preserve"> рублей), предоставление субсидий некоммерческим организациям ветеранов (16,7 </w:t>
      </w:r>
      <w:proofErr w:type="spellStart"/>
      <w:r>
        <w:rPr>
          <w:color w:val="000000"/>
          <w:sz w:val="27"/>
          <w:szCs w:val="27"/>
        </w:rPr>
        <w:t>млн</w:t>
      </w:r>
      <w:proofErr w:type="spellEnd"/>
      <w:r>
        <w:rPr>
          <w:color w:val="000000"/>
          <w:sz w:val="27"/>
          <w:szCs w:val="27"/>
        </w:rPr>
        <w:t xml:space="preserve"> рублей), предоставление субсидий некоммерческим организациям, занимающимся патриотическим воспитанием (19,18 </w:t>
      </w:r>
      <w:proofErr w:type="spellStart"/>
      <w:r>
        <w:rPr>
          <w:color w:val="000000"/>
          <w:sz w:val="27"/>
          <w:szCs w:val="27"/>
        </w:rPr>
        <w:t>млн</w:t>
      </w:r>
      <w:proofErr w:type="spellEnd"/>
      <w:r>
        <w:rPr>
          <w:color w:val="000000"/>
          <w:sz w:val="27"/>
          <w:szCs w:val="27"/>
        </w:rPr>
        <w:t xml:space="preserve"> рублей), повышение бюджетной и финансовой грамотности, развитие правовой культуры (2,5 </w:t>
      </w:r>
      <w:proofErr w:type="spellStart"/>
      <w:r>
        <w:rPr>
          <w:color w:val="000000"/>
          <w:sz w:val="27"/>
          <w:szCs w:val="27"/>
        </w:rPr>
        <w:t>млн</w:t>
      </w:r>
      <w:proofErr w:type="spellEnd"/>
      <w:r>
        <w:rPr>
          <w:color w:val="000000"/>
          <w:sz w:val="27"/>
          <w:szCs w:val="27"/>
        </w:rPr>
        <w:t xml:space="preserve"> рублей). Таким </w:t>
      </w:r>
      <w:proofErr w:type="gramStart"/>
      <w:r>
        <w:rPr>
          <w:color w:val="000000"/>
          <w:sz w:val="27"/>
          <w:szCs w:val="27"/>
        </w:rPr>
        <w:t>образом</w:t>
      </w:r>
      <w:proofErr w:type="gramEnd"/>
      <w:r>
        <w:rPr>
          <w:color w:val="000000"/>
          <w:sz w:val="27"/>
          <w:szCs w:val="27"/>
        </w:rPr>
        <w:t xml:space="preserve"> в 2019 году за счет средств краевого бюджета стало поддержку получили 131 социально ориентированная некоммерческая организация.</w:t>
      </w:r>
    </w:p>
    <w:p w:rsidR="00E57767" w:rsidRDefault="00E57767" w:rsidP="00E5776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2020 году в рамках краевого конкурса </w:t>
      </w:r>
      <w:proofErr w:type="spellStart"/>
      <w:r>
        <w:rPr>
          <w:color w:val="000000"/>
          <w:sz w:val="27"/>
          <w:szCs w:val="27"/>
        </w:rPr>
        <w:t>быдло</w:t>
      </w:r>
      <w:proofErr w:type="spellEnd"/>
      <w:r>
        <w:rPr>
          <w:color w:val="000000"/>
          <w:sz w:val="27"/>
          <w:szCs w:val="27"/>
        </w:rPr>
        <w:t xml:space="preserve"> выделено 32 858 662 </w:t>
      </w:r>
      <w:proofErr w:type="spellStart"/>
      <w:proofErr w:type="gramStart"/>
      <w:r>
        <w:rPr>
          <w:color w:val="000000"/>
          <w:sz w:val="27"/>
          <w:szCs w:val="27"/>
        </w:rPr>
        <w:t>млн</w:t>
      </w:r>
      <w:proofErr w:type="spellEnd"/>
      <w:proofErr w:type="gramEnd"/>
      <w:r>
        <w:rPr>
          <w:color w:val="000000"/>
          <w:sz w:val="27"/>
          <w:szCs w:val="27"/>
        </w:rPr>
        <w:t xml:space="preserve"> рублей.</w:t>
      </w:r>
    </w:p>
    <w:p w:rsidR="00E57767" w:rsidRDefault="00E57767" w:rsidP="00E5776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 июня 2020 года Владимир Путин на встрече с работниками социальных учреждений и НКО объявил о проведении конкурса президентских грантов. В рамках него финансовую поддержку получат некоммерческие организации, помогающие особо </w:t>
      </w:r>
      <w:proofErr w:type="gramStart"/>
      <w:r>
        <w:rPr>
          <w:color w:val="000000"/>
          <w:sz w:val="27"/>
          <w:szCs w:val="27"/>
        </w:rPr>
        <w:t>уязвимым</w:t>
      </w:r>
      <w:proofErr w:type="gramEnd"/>
      <w:r>
        <w:rPr>
          <w:color w:val="000000"/>
          <w:sz w:val="27"/>
          <w:szCs w:val="27"/>
        </w:rPr>
        <w:t xml:space="preserve"> социальным</w:t>
      </w:r>
    </w:p>
    <w:p w:rsidR="00E57767" w:rsidRDefault="00E57767" w:rsidP="00E57767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группам: старшему поколению, людям с ограниченными возможностями здоровья или тяжелыми заболеваниями, людям из других групп риска заражения, детям, семьям с заразившимися COVID-19, с детьми-инвалидами, многодетным, неполным, неблагополучным и малоимущим семьям, женщинам, оказавшимся в сложной жизненной ситуации, людям без определенного места жительства.</w:t>
      </w:r>
      <w:proofErr w:type="gramEnd"/>
      <w:r>
        <w:rPr>
          <w:color w:val="000000"/>
          <w:sz w:val="27"/>
          <w:szCs w:val="27"/>
        </w:rPr>
        <w:t xml:space="preserve"> Также целевыми группами проектов могут быть медики, социальные работники и добровольцы.</w:t>
      </w:r>
    </w:p>
    <w:p w:rsidR="00E57767" w:rsidRDefault="00E57767" w:rsidP="00E57767">
      <w:pPr>
        <w:pStyle w:val="a9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Грантовые</w:t>
      </w:r>
      <w:proofErr w:type="spellEnd"/>
      <w:r>
        <w:rPr>
          <w:color w:val="000000"/>
          <w:sz w:val="27"/>
          <w:szCs w:val="27"/>
        </w:rPr>
        <w:t xml:space="preserve"> средства могут быть направлены на оплату труда сотрудников, приобретение средств индивидуальной защиты, проведение медицинских осмотров, аренду и содержание помещений, транспортные расходы, услуги связи, а также при необходимости </w:t>
      </w:r>
      <w:proofErr w:type="gramStart"/>
      <w:r>
        <w:rPr>
          <w:color w:val="000000"/>
          <w:sz w:val="27"/>
          <w:szCs w:val="27"/>
        </w:rPr>
        <w:t>на прямую материальную</w:t>
      </w:r>
      <w:proofErr w:type="gramEnd"/>
      <w:r>
        <w:rPr>
          <w:color w:val="000000"/>
          <w:sz w:val="27"/>
          <w:szCs w:val="27"/>
        </w:rPr>
        <w:t xml:space="preserve"> помощь нуждающимся.</w:t>
      </w:r>
    </w:p>
    <w:p w:rsidR="00E57767" w:rsidRDefault="00E57767" w:rsidP="00E5776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Кроме этого, Центром поддержки гражданских инициатив Южного Урала и ресурсным центром поддержки и развития СО НКО Челябинской области по итогам исследования реестра СО НКО, которым будут предоставлены дополнительные меры поддержки, резюмировали, что Пермский край занял </w:t>
      </w:r>
      <w:r>
        <w:rPr>
          <w:color w:val="000000"/>
          <w:sz w:val="27"/>
          <w:szCs w:val="27"/>
        </w:rPr>
        <w:lastRenderedPageBreak/>
        <w:t>второе место в рейтинге по количеству поддержанных за счет грантов и субсидий НКО. Первое место заняла Москва. В Пермском крае 931 организация получила гранты или субсидии из федерального и регионального бюджетов. Данные результаты были представлены в ходе общественных слушаний в Общественной палате РФ о мерах поддержки НКО.</w:t>
      </w:r>
    </w:p>
    <w:p w:rsidR="00E57767" w:rsidRDefault="00E57767" w:rsidP="00E57767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Введение на территории Пермского региона ограничительных мер, направленных на предотвращение распространения </w:t>
      </w:r>
      <w:proofErr w:type="spellStart"/>
      <w:r>
        <w:rPr>
          <w:color w:val="000000"/>
          <w:sz w:val="27"/>
          <w:szCs w:val="27"/>
        </w:rPr>
        <w:t>коронавирусной</w:t>
      </w:r>
      <w:proofErr w:type="spellEnd"/>
      <w:r>
        <w:rPr>
          <w:color w:val="000000"/>
          <w:sz w:val="27"/>
          <w:szCs w:val="27"/>
        </w:rPr>
        <w:t xml:space="preserve"> инфекции, напрямую отразилось на возможности людей реализовывать свои права и свободы (например, право на жизнь, охрану здоровья и медицинскую помощь, право на труд и социальное обеспечение, право на социальную поддержку в трудной жизненной ситуации, право на информацию и юридическую помощь и др.).</w:t>
      </w:r>
      <w:proofErr w:type="gramEnd"/>
      <w:r>
        <w:rPr>
          <w:color w:val="000000"/>
          <w:sz w:val="27"/>
          <w:szCs w:val="27"/>
        </w:rPr>
        <w:t xml:space="preserve"> Ввиду отсутствия у государства необходимых ресурсов, часть «забот» взяли на себя НКО, создав соответствующие условия для реализации тех или иных прав:</w:t>
      </w:r>
    </w:p>
    <w:p w:rsidR="00E57767" w:rsidRDefault="00E57767" w:rsidP="00E5776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Далеко не секрет, что многие жители в условиях введенных ограничений потеряли свой стабильный доход, либо полностью лишились сре</w:t>
      </w:r>
      <w:proofErr w:type="gramStart"/>
      <w:r>
        <w:rPr>
          <w:color w:val="000000"/>
          <w:sz w:val="27"/>
          <w:szCs w:val="27"/>
        </w:rPr>
        <w:t>дств к с</w:t>
      </w:r>
      <w:proofErr w:type="gramEnd"/>
      <w:r>
        <w:rPr>
          <w:color w:val="000000"/>
          <w:sz w:val="27"/>
          <w:szCs w:val="27"/>
        </w:rPr>
        <w:t xml:space="preserve">уществованию. Значительная </w:t>
      </w:r>
      <w:proofErr w:type="gramStart"/>
      <w:r>
        <w:rPr>
          <w:color w:val="000000"/>
          <w:sz w:val="27"/>
          <w:szCs w:val="27"/>
        </w:rPr>
        <w:t>часть таких людей не смогла претендовать</w:t>
      </w:r>
      <w:proofErr w:type="gramEnd"/>
      <w:r>
        <w:rPr>
          <w:color w:val="000000"/>
          <w:sz w:val="27"/>
          <w:szCs w:val="27"/>
        </w:rPr>
        <w:t xml:space="preserve"> на меры государственной поддержки ввиду невозможности официального подтверждения своего плачевного положения (как правило, такие люди работали без официального трудоустройства и не могли быть признаны малоимущими в установленном порядке). Именно негосударственные организации первыми отреагировали на запрос таких семей на поддержку, организовав поставку продуктов, питьевой воды и предметов первой необходимости, по заявительному принципу, а не с учетом подтвержденного статуса малоимущих. Остро нуждающимися в поддержке оказались бездомные люди. НКО продолжили оказывать помощь по ряду направлений (обеспечение временным жильем, питанием, содействие в оказании медицинской и правовой помощи, восстановлении родственных связей и др.). Например, в условиях пандемии продолжил свою работу Центр «Территория</w:t>
      </w:r>
    </w:p>
    <w:p w:rsidR="00E57767" w:rsidRDefault="00E57767" w:rsidP="00E5776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передышки», раздавая бездомным спасательные наборы (продукты питания, средства гигиены, защиты), продолжая содействовать устройству </w:t>
      </w:r>
      <w:proofErr w:type="gramStart"/>
      <w:r>
        <w:rPr>
          <w:color w:val="000000"/>
          <w:sz w:val="27"/>
          <w:szCs w:val="27"/>
        </w:rPr>
        <w:t>нуждающихся</w:t>
      </w:r>
      <w:proofErr w:type="gramEnd"/>
      <w:r>
        <w:rPr>
          <w:color w:val="000000"/>
          <w:sz w:val="27"/>
          <w:szCs w:val="27"/>
        </w:rPr>
        <w:t xml:space="preserve"> в государственный Центр социальной адаптации. Люди, оставшиеся без крыши над головой, начали ежедневно получать защитные маски. Однако на первых этапах действия ограничительных </w:t>
      </w:r>
      <w:proofErr w:type="gramStart"/>
      <w:r>
        <w:rPr>
          <w:color w:val="000000"/>
          <w:sz w:val="27"/>
          <w:szCs w:val="27"/>
        </w:rPr>
        <w:t>мер</w:t>
      </w:r>
      <w:proofErr w:type="gramEnd"/>
      <w:r>
        <w:rPr>
          <w:color w:val="000000"/>
          <w:sz w:val="27"/>
          <w:szCs w:val="27"/>
        </w:rPr>
        <w:t xml:space="preserve"> сотрудники организации подвергались административному преследованию в связи с нахождением на улице в рамках своей деятельности. После вмешательства Уполномоченного была достигнута договоренность с органами полиции о не привлечении сотрудников НКО к административной ответственности.</w:t>
      </w:r>
    </w:p>
    <w:p w:rsidR="00E57767" w:rsidRDefault="00E57767" w:rsidP="00E5776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Защитные маски для бездомных стали частью средств защиты из крупнейшей благотворительной партии, которую получил Пермский край от фонда Тимченко, запустившего программу «Фонд плюс регионы», при содействии Центра ГРАНИ и команды </w:t>
      </w:r>
      <w:proofErr w:type="spellStart"/>
      <w:proofErr w:type="gramStart"/>
      <w:r>
        <w:rPr>
          <w:color w:val="000000"/>
          <w:sz w:val="27"/>
          <w:szCs w:val="27"/>
        </w:rPr>
        <w:t>SOS</w:t>
      </w:r>
      <w:proofErr w:type="gramEnd"/>
      <w:r>
        <w:rPr>
          <w:color w:val="000000"/>
          <w:sz w:val="27"/>
          <w:szCs w:val="27"/>
        </w:rPr>
        <w:t>еди</w:t>
      </w:r>
      <w:proofErr w:type="spellEnd"/>
      <w:r>
        <w:rPr>
          <w:color w:val="000000"/>
          <w:sz w:val="27"/>
          <w:szCs w:val="27"/>
        </w:rPr>
        <w:t xml:space="preserve">, объединившей инициативы сразу несколько НКО и простых неравнодушных граждан. В результате профессиональные </w:t>
      </w:r>
      <w:r>
        <w:rPr>
          <w:color w:val="000000"/>
          <w:sz w:val="27"/>
          <w:szCs w:val="27"/>
        </w:rPr>
        <w:lastRenderedPageBreak/>
        <w:t xml:space="preserve">защитные костюмы, маски, перчатки, бахилы (всего – более 100 000 СИЗ) на сумму 40 </w:t>
      </w:r>
      <w:proofErr w:type="spellStart"/>
      <w:proofErr w:type="gramStart"/>
      <w:r>
        <w:rPr>
          <w:color w:val="000000"/>
          <w:sz w:val="27"/>
          <w:szCs w:val="27"/>
        </w:rPr>
        <w:t>млн</w:t>
      </w:r>
      <w:proofErr w:type="spellEnd"/>
      <w:proofErr w:type="gramEnd"/>
      <w:r>
        <w:rPr>
          <w:color w:val="000000"/>
          <w:sz w:val="27"/>
          <w:szCs w:val="27"/>
        </w:rPr>
        <w:t xml:space="preserve"> рублей распределены по 16 больницам Пермского края, а также геронтологическим центрам и волонтерским организациям.</w:t>
      </w:r>
    </w:p>
    <w:p w:rsidR="00E57767" w:rsidRDefault="00E57767" w:rsidP="00E5776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Веденные ограничения с целью предотвращения распространения вируса, как это парадоксально не звучит, сказались на реализации права на охрану здоровья. Так, в связи с переносом сроков оказания плановой медицинской помощи, в том числе, в условиях дневного стационара, под угрозой оказалось здоровье лиц, страдающих хроническими заболеваниями. Существенно снизилась доступность медицинской помощи, оказываемой узкими специалистами в амбулаторных условиях, в том числе в связи с предстоящей госпитализацией пациента с целью оказания специализированной медицинской помощи. Возникли проблемы с дистанционной выпиской лекарственных препаратов и доставки их на дом. Участились случаи отказов в оказании медицинской помощи паллиативным больным - в связи с распространением </w:t>
      </w:r>
      <w:proofErr w:type="spellStart"/>
      <w:r>
        <w:rPr>
          <w:color w:val="000000"/>
          <w:sz w:val="27"/>
          <w:szCs w:val="27"/>
        </w:rPr>
        <w:t>коронавирусной</w:t>
      </w:r>
      <w:proofErr w:type="spellEnd"/>
      <w:r>
        <w:rPr>
          <w:color w:val="000000"/>
          <w:sz w:val="27"/>
          <w:szCs w:val="27"/>
        </w:rPr>
        <w:t xml:space="preserve"> инфекции жителям рекомендуется обращаться в больницы только в экстренных ситуациях, а помощь паллиативным больным, по мнению, медицинских работников, к таковым не относится. Под угрозой оказалось и здоровье лиц без определенного места жительства, поскольку до сих пор не отлажен механизм сопровождения, оказания медицинской помощи и проведения тестирования на COVID-19 лицам без определенного места жительства, не имеющим документов, удостоверяющих личность, медицинских полисов и др. документов, в условиях пандемии. Следует отметить, что региональные благотворительные фонды (</w:t>
      </w:r>
      <w:proofErr w:type="spellStart"/>
      <w:r>
        <w:rPr>
          <w:color w:val="000000"/>
          <w:sz w:val="27"/>
          <w:szCs w:val="27"/>
        </w:rPr>
        <w:t>ДедМорозим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Берегиня</w:t>
      </w:r>
      <w:proofErr w:type="spellEnd"/>
      <w:r>
        <w:rPr>
          <w:color w:val="000000"/>
          <w:sz w:val="27"/>
          <w:szCs w:val="27"/>
        </w:rPr>
        <w:t xml:space="preserve">) и ряд </w:t>
      </w:r>
      <w:proofErr w:type="spellStart"/>
      <w:r>
        <w:rPr>
          <w:color w:val="000000"/>
          <w:sz w:val="27"/>
          <w:szCs w:val="27"/>
        </w:rPr>
        <w:t>пациентских</w:t>
      </w:r>
      <w:proofErr w:type="spellEnd"/>
      <w:r>
        <w:rPr>
          <w:color w:val="000000"/>
          <w:sz w:val="27"/>
          <w:szCs w:val="27"/>
        </w:rPr>
        <w:t xml:space="preserve"> организаций Пермского края продолжили свою работу. Благодаря их работе пациенты продолжали получать необходимые дорогостоящие препараты и жизнеобеспечивающие средства реабилитации; благодаря их усилиям нуждающиеся получали паллиативную помощь на дому, имели доступ к правовой информации о порядке получения медицинской помощи и заочного освидетельствования на инвалидность и другим </w:t>
      </w:r>
      <w:proofErr w:type="spellStart"/>
      <w:r>
        <w:rPr>
          <w:color w:val="000000"/>
          <w:sz w:val="27"/>
          <w:szCs w:val="27"/>
        </w:rPr>
        <w:t>вопросам</w:t>
      </w:r>
      <w:proofErr w:type="gramStart"/>
      <w:r>
        <w:rPr>
          <w:color w:val="000000"/>
          <w:sz w:val="27"/>
          <w:szCs w:val="27"/>
        </w:rPr>
        <w:t>.и</w:t>
      </w:r>
      <w:proofErr w:type="spellEnd"/>
      <w:proofErr w:type="gramEnd"/>
      <w:r>
        <w:rPr>
          <w:color w:val="000000"/>
          <w:sz w:val="27"/>
          <w:szCs w:val="27"/>
        </w:rPr>
        <w:t xml:space="preserve"> др.</w:t>
      </w:r>
    </w:p>
    <w:p w:rsidR="00E57767" w:rsidRDefault="00E57767" w:rsidP="00E5776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Особое значение приобретает деятельность НКО, в поле зрения которых попадают учреждения исполнения наказаний, а также центры временного содержания иностранных граждан, поскольку в условиях пандемии риски нарушения прав находящихся в учреждениях людей, безусловно, возрастают.</w:t>
      </w:r>
    </w:p>
    <w:p w:rsidR="00E57767" w:rsidRDefault="00E57767" w:rsidP="00E5776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Многие жители тяжело переживали режим вынужденной самоизоляции, испытывая тревогу за себя и своих близких; не у всех граждан срабатывали адаптационные механизмы преодоления стрессовой ситуации. Для оперативной психологической поддержки населения НКО, работающие по данному направлению, адаптировали существующие сервисы; продолжили работу «горячие линии» на телефонах доверия, где </w:t>
      </w:r>
      <w:proofErr w:type="gramStart"/>
      <w:r>
        <w:rPr>
          <w:color w:val="000000"/>
          <w:sz w:val="27"/>
          <w:szCs w:val="27"/>
        </w:rPr>
        <w:t>позвонивший</w:t>
      </w:r>
      <w:proofErr w:type="gramEnd"/>
      <w:r>
        <w:rPr>
          <w:color w:val="000000"/>
          <w:sz w:val="27"/>
          <w:szCs w:val="27"/>
        </w:rPr>
        <w:t xml:space="preserve"> может получить первую психологическую помощь. На территории Пермского края продолжили свою работу все горячие линии (телефон доверия, скорая социальная помощь, телефон доверия для тяжелобольных людей и др.). НКО продолжили сопровождение молодых инвалидов, сделавших шаг навстречу самостоятельному проживанию за пределами интерната, организовали </w:t>
      </w:r>
      <w:r>
        <w:rPr>
          <w:color w:val="000000"/>
          <w:sz w:val="27"/>
          <w:szCs w:val="27"/>
        </w:rPr>
        <w:lastRenderedPageBreak/>
        <w:t>сопровождение одиноких пожилых, семей, имеющих в составе пациентов с тяжелыми неизлечимыми заболеваниями.</w:t>
      </w:r>
    </w:p>
    <w:p w:rsidR="00E57767" w:rsidRDefault="00E57767" w:rsidP="00E5776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условия ограничения социальных контактов, появления множества информационных поводов, стремительного изменения законодательства, введения все новых мер государственной социальной поддержки населения, особенно актуальным стало своевременное получение правовой информации, а в ряде случаев квалифицированной правовой помощи. Многих людей волнуют вопросы трудового права, льгот по кредитам, порядка возврата денег за авиабилеты, </w:t>
      </w:r>
      <w:proofErr w:type="spellStart"/>
      <w:r>
        <w:rPr>
          <w:color w:val="000000"/>
          <w:sz w:val="27"/>
          <w:szCs w:val="27"/>
        </w:rPr>
        <w:t>турпоездки</w:t>
      </w:r>
      <w:proofErr w:type="spellEnd"/>
      <w:r>
        <w:rPr>
          <w:color w:val="000000"/>
          <w:sz w:val="27"/>
          <w:szCs w:val="27"/>
        </w:rPr>
        <w:t xml:space="preserve">, получения мер социальной поддержки. Актуальны и вопросы господдержки для бизнеса. На федеральном уровне международная правовая организация «Агора» открыла оперативный штаб правовой помощи в связи с пандемией </w:t>
      </w:r>
      <w:proofErr w:type="spellStart"/>
      <w:r>
        <w:rPr>
          <w:color w:val="000000"/>
          <w:sz w:val="27"/>
          <w:szCs w:val="27"/>
        </w:rPr>
        <w:t>коронавирусной</w:t>
      </w:r>
      <w:proofErr w:type="spellEnd"/>
      <w:r>
        <w:rPr>
          <w:color w:val="000000"/>
          <w:sz w:val="27"/>
          <w:szCs w:val="27"/>
        </w:rPr>
        <w:t xml:space="preserve"> инфекции. Штаб опубликовал масштабный массив документов, в которых юристы, специализирующиеся на разных отраслях права (трудовое, корпоративное, медицинское и пр.), отвечают на самые распространенные вопросы о правах граждан в период пандемии </w:t>
      </w:r>
      <w:proofErr w:type="spellStart"/>
      <w:r>
        <w:rPr>
          <w:color w:val="000000"/>
          <w:sz w:val="27"/>
          <w:szCs w:val="27"/>
        </w:rPr>
        <w:t>коронавируса</w:t>
      </w:r>
      <w:proofErr w:type="spellEnd"/>
      <w:r>
        <w:rPr>
          <w:color w:val="000000"/>
          <w:sz w:val="27"/>
          <w:szCs w:val="27"/>
        </w:rPr>
        <w:t>. На региональном же уровне весьма востребованным оказался проект других НКО. Так, при поддержке Центра ГРАНИ командой взаимопомощи горожан «</w:t>
      </w:r>
      <w:proofErr w:type="spellStart"/>
      <w:proofErr w:type="gramStart"/>
      <w:r>
        <w:rPr>
          <w:color w:val="000000"/>
          <w:sz w:val="27"/>
          <w:szCs w:val="27"/>
        </w:rPr>
        <w:t>SOS</w:t>
      </w:r>
      <w:proofErr w:type="gramEnd"/>
      <w:r>
        <w:rPr>
          <w:color w:val="000000"/>
          <w:sz w:val="27"/>
          <w:szCs w:val="27"/>
        </w:rPr>
        <w:t>еди</w:t>
      </w:r>
      <w:proofErr w:type="spellEnd"/>
      <w:r>
        <w:rPr>
          <w:color w:val="000000"/>
          <w:sz w:val="27"/>
          <w:szCs w:val="27"/>
        </w:rPr>
        <w:t>» был организован консультационный проект юридической помощи, сотрудники проекта публикуют подробные памятки действий для различных проблемных ситуаций. Бесплатные консультации дают профессиональные юристы, экономисты, менеджеры по персоналу, специалисты в сфере защиты прав потребителя.</w:t>
      </w:r>
    </w:p>
    <w:p w:rsidR="00E57767" w:rsidRDefault="00E57767" w:rsidP="00E57767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Отдельную роль в условиях пандемии НКО играют в экспертной оценке социального благополучия тех или иных категорий граждан, эффективности предлагаемых государством решений и наличия административных барьеров при получении государственных услуг (например, пермской группой «Стоп </w:t>
      </w:r>
      <w:proofErr w:type="spellStart"/>
      <w:r>
        <w:rPr>
          <w:color w:val="000000"/>
          <w:sz w:val="27"/>
          <w:szCs w:val="27"/>
        </w:rPr>
        <w:t>коронаперегибы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Пермь» был представлен анализ практики привлечения граждан к административной ответственности за нарушение требований по самоизоляции; БФ «</w:t>
      </w:r>
      <w:proofErr w:type="spellStart"/>
      <w:r>
        <w:rPr>
          <w:color w:val="000000"/>
          <w:sz w:val="27"/>
          <w:szCs w:val="27"/>
        </w:rPr>
        <w:t>Дедморозим</w:t>
      </w:r>
      <w:proofErr w:type="spellEnd"/>
      <w:r>
        <w:rPr>
          <w:color w:val="000000"/>
          <w:sz w:val="27"/>
          <w:szCs w:val="27"/>
        </w:rPr>
        <w:t>» озвучена позиция по вопросам</w:t>
      </w:r>
    </w:p>
    <w:p w:rsidR="00E57767" w:rsidRDefault="00E57767" w:rsidP="00E5776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лекарственного обеспечения тяжелобольных детей и нахождения родителей в реанимационных палатах с детьми в условиях пандемии и многое другое)</w:t>
      </w:r>
    </w:p>
    <w:p w:rsidR="00E57767" w:rsidRDefault="00E57767" w:rsidP="00E5776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Безусловно, помощь некоммерческих организаций, в особенности социально ориентированных, сейчас ещё более востребована. В то же время, некоммерческим организациям самим стало значительно сложнее продолжать свою деятельность в период пандемии. Из-за экономического кризиса сократились благотворительные пожертвования частных лиц и коммерческих организаций. Под угрозой полноценная реализация многих социальных проектов, на которые ранее были выделены </w:t>
      </w:r>
      <w:proofErr w:type="spellStart"/>
      <w:r>
        <w:rPr>
          <w:color w:val="000000"/>
          <w:sz w:val="27"/>
          <w:szCs w:val="27"/>
        </w:rPr>
        <w:t>грантовые</w:t>
      </w:r>
      <w:proofErr w:type="spellEnd"/>
      <w:r>
        <w:rPr>
          <w:color w:val="000000"/>
          <w:sz w:val="27"/>
          <w:szCs w:val="27"/>
        </w:rPr>
        <w:t xml:space="preserve"> средства как за счет федерального, так и регионального бюджетов.</w:t>
      </w:r>
    </w:p>
    <w:p w:rsidR="00E57767" w:rsidRDefault="00E57767" w:rsidP="00E5776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 прошедшие месяцы не раз предлагалось рассмотреть вопрос поддержки НКО. Следует отметить, что некоторые меры, направленные на поддержку российского некоммерческого сектора в период неблагополучной </w:t>
      </w:r>
      <w:r>
        <w:rPr>
          <w:color w:val="000000"/>
          <w:sz w:val="27"/>
          <w:szCs w:val="27"/>
        </w:rPr>
        <w:lastRenderedPageBreak/>
        <w:t>эпидемиологической обстановки и экономической нестабильности, уже вступили в силу:</w:t>
      </w:r>
    </w:p>
    <w:p w:rsidR="00E57767" w:rsidRDefault="00E57767" w:rsidP="00E5776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предоставлена отсрочка уплаты арендной платы по договорам аренды недвижимого имущества, находящегося в государственной (муниципальной) или частной собственности, за исключением жилых помещений (основание – п. 1 и п. 3 ст. 19 Федерального закона от 01.04.2020 № 98-ФЗ),</w:t>
      </w:r>
    </w:p>
    <w:p w:rsidR="00E57767" w:rsidRDefault="00E57767" w:rsidP="00E5776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установлен упрощенный порядок государственных закупок, в том числе возможность по соглашению сторон изменения срока исполнения контракта, цены контракта, цены единицы товара, работы, услуги; изменение порядка расчета пени и пр. (основание – ст. 11 Федерального закона от 01.04.2020 № 98-ФЗ),</w:t>
      </w:r>
    </w:p>
    <w:p w:rsidR="00E57767" w:rsidRDefault="00E57767" w:rsidP="00E5776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продлены сроки сдачи отчетности в ФНС и в Минюст РФ (основание – п. 3 Постановления Правительства РФ от 02.04.2020 N 409),</w:t>
      </w:r>
    </w:p>
    <w:p w:rsidR="00E57767" w:rsidRDefault="00E57767" w:rsidP="00E5776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отменены плановые проверки в отношении НКО </w:t>
      </w:r>
      <w:proofErr w:type="gramStart"/>
      <w:r>
        <w:rPr>
          <w:color w:val="000000"/>
          <w:sz w:val="27"/>
          <w:szCs w:val="27"/>
        </w:rPr>
        <w:t>со</w:t>
      </w:r>
      <w:proofErr w:type="gramEnd"/>
      <w:r>
        <w:rPr>
          <w:color w:val="000000"/>
          <w:sz w:val="27"/>
          <w:szCs w:val="27"/>
        </w:rPr>
        <w:t xml:space="preserve"> численностью работников не более 200 человек (кроме политических партий и организаций, включенных в реестр НКО, выполняющих функции иностранного агента) (основание – п. 1 Постановления Правительства РФ от 3.04.2020 №438),</w:t>
      </w:r>
    </w:p>
    <w:p w:rsidR="00E57767" w:rsidRDefault="00E57767" w:rsidP="00E5776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предусмотрено предоставление государственной субсидии на выплату зарплат сотрудникам за апрель и май 2020 года при условии сохранения штатной численности сотрудников на уровне не менее 90 процентов на 1 апреля (основание – Совещание о санитарно-эпидемиологической обстановке, 11.05.2020),</w:t>
      </w:r>
    </w:p>
    <w:p w:rsidR="00E57767" w:rsidRDefault="00E57767" w:rsidP="00E57767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- предоставлена возможность воспользоваться специальной кредитной программой поддержки занятости с льготным процентной ставкой в размере 2 процентов, размер кредита будет рассчитываться по формуле 1 МРОТ на одного сотрудника в месяц исходя из шести месяцев, срок погашения кредита – 1 апреля 2021 года (основание – Совещание о санитарно-эпидемиологической обстановке, 11.05.2020),</w:t>
      </w:r>
      <w:proofErr w:type="gramEnd"/>
    </w:p>
    <w:p w:rsidR="00E57767" w:rsidRDefault="00E57767" w:rsidP="00E5776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освобождение от налоговых и страховых отчислений (за исключением НДС) за второй квартал 2020 года (основание – Совещание о </w:t>
      </w:r>
      <w:proofErr w:type="spellStart"/>
      <w:r>
        <w:rPr>
          <w:color w:val="000000"/>
          <w:sz w:val="27"/>
          <w:szCs w:val="27"/>
        </w:rPr>
        <w:t>санитарноэпидемиологической</w:t>
      </w:r>
      <w:proofErr w:type="spellEnd"/>
      <w:r>
        <w:rPr>
          <w:color w:val="000000"/>
          <w:sz w:val="27"/>
          <w:szCs w:val="27"/>
        </w:rPr>
        <w:t xml:space="preserve"> обстановке, 11.05.2020).</w:t>
      </w:r>
    </w:p>
    <w:p w:rsidR="00E57767" w:rsidRDefault="00E57767" w:rsidP="00E5776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Учитывая </w:t>
      </w:r>
      <w:proofErr w:type="gramStart"/>
      <w:r>
        <w:rPr>
          <w:color w:val="000000"/>
          <w:sz w:val="27"/>
          <w:szCs w:val="27"/>
        </w:rPr>
        <w:t>вышеизложенное</w:t>
      </w:r>
      <w:proofErr w:type="gramEnd"/>
      <w:r>
        <w:rPr>
          <w:color w:val="000000"/>
          <w:sz w:val="27"/>
          <w:szCs w:val="27"/>
        </w:rPr>
        <w:t>, целесообразно предложить следующие пункты в проект решения Координационного совета:</w:t>
      </w:r>
    </w:p>
    <w:p w:rsidR="00E57767" w:rsidRDefault="00E57767" w:rsidP="00E5776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Рекомендовать Правительству Российской Федерации:</w:t>
      </w:r>
    </w:p>
    <w:p w:rsidR="00E57767" w:rsidRDefault="00E57767" w:rsidP="00E5776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1.1. Проработать вопрос продления срока реализации социальных проектов и предоставления отчетности по проектам, а также возможности корректировки направлений проектов для социально ориентированных некоммерческих </w:t>
      </w:r>
      <w:r>
        <w:rPr>
          <w:color w:val="000000"/>
          <w:sz w:val="27"/>
          <w:szCs w:val="27"/>
        </w:rPr>
        <w:lastRenderedPageBreak/>
        <w:t>организаций, получивших гранты по итогам конкурса социальных и гражданских инициатив;</w:t>
      </w:r>
    </w:p>
    <w:p w:rsidR="00E57767" w:rsidRDefault="00E57767" w:rsidP="00E5776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 Проработать вопрос доступа социально ориентированных некоммерческих организаций к оказанию услуг в качестве поставщиков социальных услуг, предусмотренных Федеральным законом № 442-ФЗ «Об основах социального обслуживания граждан в РФ» с целью упрощения процедуры доступа (включение в реестр поставщиков социальных услуг и получения субсидий с целью возмещения расходов);</w:t>
      </w:r>
    </w:p>
    <w:p w:rsidR="00E57767" w:rsidRDefault="00E57767" w:rsidP="00E5776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 Проработать вопрос внесения изменений в Кодекс об административных правонарушениях РФ с целью исключения рисков привлечения работников социально ориентированных некоммерческих организаций, а также организаций волонтеров, оказывающих социально значимые услуги населению в период действия санитарных ограничений, введенных для предотвращения распространения инфекций;</w:t>
      </w:r>
    </w:p>
    <w:p w:rsidR="00E57767" w:rsidRDefault="00E57767" w:rsidP="00E5776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1.4. Проработать вопрос распространения отдельных мер поддержки малого и среднего бизнеса на некоммерческие организации, прежде всего, социально ориентированные, добровольческие, благотворительные</w:t>
      </w:r>
    </w:p>
    <w:p w:rsidR="00E57767" w:rsidRDefault="00E57767" w:rsidP="00E5776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1.5. </w:t>
      </w:r>
      <w:proofErr w:type="gramStart"/>
      <w:r>
        <w:rPr>
          <w:color w:val="000000"/>
          <w:sz w:val="27"/>
          <w:szCs w:val="27"/>
        </w:rPr>
        <w:t>Рассмотреть возможность принятия дополнительных мер поддержки социально ориентированных некоммерческих организаций (например, в части освобождения (уменьшения размера) арендной платы, введения моратория на применение мер ответственности за нарушение порядка и сроков оплаты аренды недвижимого имущества и оборудования, находящегося в публичной или муниципальной собственности; предоставления НКО безвозмездной финансовой помощи на уставную деятельность по оказанию социальных услуг населению, реализацию социально значимых проектов;</w:t>
      </w:r>
      <w:proofErr w:type="gramEnd"/>
      <w:r>
        <w:rPr>
          <w:color w:val="000000"/>
          <w:sz w:val="27"/>
          <w:szCs w:val="27"/>
        </w:rPr>
        <w:t xml:space="preserve"> выделения </w:t>
      </w:r>
      <w:proofErr w:type="spellStart"/>
      <w:r>
        <w:rPr>
          <w:color w:val="000000"/>
          <w:sz w:val="27"/>
          <w:szCs w:val="27"/>
        </w:rPr>
        <w:t>грантовой</w:t>
      </w:r>
      <w:proofErr w:type="spellEnd"/>
      <w:r>
        <w:rPr>
          <w:color w:val="000000"/>
          <w:sz w:val="27"/>
          <w:szCs w:val="27"/>
        </w:rPr>
        <w:t xml:space="preserve"> поддержки на реализацию социально значимых проектов, направленных на преодоления экономических и социальных последствий пандемии и др.)</w:t>
      </w:r>
    </w:p>
    <w:p w:rsidR="0074428F" w:rsidRDefault="0074428F" w:rsidP="00E57767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sectPr w:rsidR="0074428F" w:rsidSect="00C5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560" w:rsidRDefault="00481560" w:rsidP="00BE08F7">
      <w:pPr>
        <w:spacing w:after="0" w:line="240" w:lineRule="auto"/>
      </w:pPr>
      <w:r>
        <w:separator/>
      </w:r>
    </w:p>
  </w:endnote>
  <w:endnote w:type="continuationSeparator" w:id="0">
    <w:p w:rsidR="00481560" w:rsidRDefault="00481560" w:rsidP="00BE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560" w:rsidRDefault="00481560" w:rsidP="00BE08F7">
      <w:pPr>
        <w:spacing w:after="0" w:line="240" w:lineRule="auto"/>
      </w:pPr>
      <w:r>
        <w:separator/>
      </w:r>
    </w:p>
  </w:footnote>
  <w:footnote w:type="continuationSeparator" w:id="0">
    <w:p w:rsidR="00481560" w:rsidRDefault="00481560" w:rsidP="00BE0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7C5"/>
    <w:multiLevelType w:val="multilevel"/>
    <w:tmpl w:val="8FC05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1E2639F"/>
    <w:multiLevelType w:val="hybridMultilevel"/>
    <w:tmpl w:val="3FF63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41C6F"/>
    <w:multiLevelType w:val="hybridMultilevel"/>
    <w:tmpl w:val="EEC0D4DA"/>
    <w:lvl w:ilvl="0" w:tplc="0419000D">
      <w:start w:val="1"/>
      <w:numFmt w:val="bullet"/>
      <w:lvlText w:val=""/>
      <w:lvlJc w:val="left"/>
      <w:pPr>
        <w:ind w:left="7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>
    <w:nsid w:val="2C752E5E"/>
    <w:multiLevelType w:val="multilevel"/>
    <w:tmpl w:val="C4A6A6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D6A395F"/>
    <w:multiLevelType w:val="hybridMultilevel"/>
    <w:tmpl w:val="730CF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91CC7"/>
    <w:multiLevelType w:val="hybridMultilevel"/>
    <w:tmpl w:val="8822E9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55471"/>
    <w:multiLevelType w:val="hybridMultilevel"/>
    <w:tmpl w:val="4A726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26F"/>
    <w:rsid w:val="00001E3F"/>
    <w:rsid w:val="0002335A"/>
    <w:rsid w:val="000479B4"/>
    <w:rsid w:val="00067F2D"/>
    <w:rsid w:val="000A02E8"/>
    <w:rsid w:val="000B1822"/>
    <w:rsid w:val="000F0125"/>
    <w:rsid w:val="001129BC"/>
    <w:rsid w:val="00127225"/>
    <w:rsid w:val="00136482"/>
    <w:rsid w:val="00143D18"/>
    <w:rsid w:val="00177DF9"/>
    <w:rsid w:val="00185B0A"/>
    <w:rsid w:val="001A2528"/>
    <w:rsid w:val="001A6C97"/>
    <w:rsid w:val="00211262"/>
    <w:rsid w:val="002262D8"/>
    <w:rsid w:val="00247B37"/>
    <w:rsid w:val="00253F31"/>
    <w:rsid w:val="00266D1D"/>
    <w:rsid w:val="002A04C9"/>
    <w:rsid w:val="002B7C3A"/>
    <w:rsid w:val="002D38CB"/>
    <w:rsid w:val="00311032"/>
    <w:rsid w:val="00316360"/>
    <w:rsid w:val="00335F4E"/>
    <w:rsid w:val="00342155"/>
    <w:rsid w:val="00365493"/>
    <w:rsid w:val="00431611"/>
    <w:rsid w:val="00450A27"/>
    <w:rsid w:val="00453B31"/>
    <w:rsid w:val="00463936"/>
    <w:rsid w:val="0046532D"/>
    <w:rsid w:val="00470043"/>
    <w:rsid w:val="00481560"/>
    <w:rsid w:val="004E77DD"/>
    <w:rsid w:val="004F2752"/>
    <w:rsid w:val="00511C95"/>
    <w:rsid w:val="00526F73"/>
    <w:rsid w:val="00527F54"/>
    <w:rsid w:val="005C435C"/>
    <w:rsid w:val="005E1D2D"/>
    <w:rsid w:val="005F093D"/>
    <w:rsid w:val="005F10F6"/>
    <w:rsid w:val="0063689F"/>
    <w:rsid w:val="00662C37"/>
    <w:rsid w:val="00693194"/>
    <w:rsid w:val="00707439"/>
    <w:rsid w:val="00714A4F"/>
    <w:rsid w:val="00734D4F"/>
    <w:rsid w:val="0074428F"/>
    <w:rsid w:val="007867F2"/>
    <w:rsid w:val="007B385C"/>
    <w:rsid w:val="00803407"/>
    <w:rsid w:val="0080536B"/>
    <w:rsid w:val="008208DC"/>
    <w:rsid w:val="00853997"/>
    <w:rsid w:val="00865434"/>
    <w:rsid w:val="008B04F6"/>
    <w:rsid w:val="008C1E8E"/>
    <w:rsid w:val="008F7D8C"/>
    <w:rsid w:val="00931AA9"/>
    <w:rsid w:val="009360A9"/>
    <w:rsid w:val="00941354"/>
    <w:rsid w:val="00980385"/>
    <w:rsid w:val="0099743D"/>
    <w:rsid w:val="009A073E"/>
    <w:rsid w:val="00A45961"/>
    <w:rsid w:val="00A75456"/>
    <w:rsid w:val="00A81088"/>
    <w:rsid w:val="00A83AFE"/>
    <w:rsid w:val="00AB32CA"/>
    <w:rsid w:val="00AD1F9A"/>
    <w:rsid w:val="00B038E9"/>
    <w:rsid w:val="00B3126F"/>
    <w:rsid w:val="00B34CA7"/>
    <w:rsid w:val="00B36A35"/>
    <w:rsid w:val="00B70FDB"/>
    <w:rsid w:val="00B71A4C"/>
    <w:rsid w:val="00BB3DCA"/>
    <w:rsid w:val="00BE08F7"/>
    <w:rsid w:val="00BF6BC2"/>
    <w:rsid w:val="00C10EA8"/>
    <w:rsid w:val="00C11FE5"/>
    <w:rsid w:val="00C24C24"/>
    <w:rsid w:val="00C4027B"/>
    <w:rsid w:val="00C50AA0"/>
    <w:rsid w:val="00C626CB"/>
    <w:rsid w:val="00CA351D"/>
    <w:rsid w:val="00CB17D9"/>
    <w:rsid w:val="00CC6573"/>
    <w:rsid w:val="00CF0754"/>
    <w:rsid w:val="00CF3931"/>
    <w:rsid w:val="00CF73C4"/>
    <w:rsid w:val="00D0051F"/>
    <w:rsid w:val="00D04D82"/>
    <w:rsid w:val="00D52684"/>
    <w:rsid w:val="00DD77F7"/>
    <w:rsid w:val="00E02F87"/>
    <w:rsid w:val="00E559C5"/>
    <w:rsid w:val="00E57419"/>
    <w:rsid w:val="00E57767"/>
    <w:rsid w:val="00E75FB7"/>
    <w:rsid w:val="00E77678"/>
    <w:rsid w:val="00E84222"/>
    <w:rsid w:val="00E9058D"/>
    <w:rsid w:val="00EA1EE5"/>
    <w:rsid w:val="00EC0B23"/>
    <w:rsid w:val="00EC5348"/>
    <w:rsid w:val="00EE051D"/>
    <w:rsid w:val="00F05A2C"/>
    <w:rsid w:val="00F071E4"/>
    <w:rsid w:val="00F1555B"/>
    <w:rsid w:val="00F53E82"/>
    <w:rsid w:val="00FB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9B4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BE08F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E08F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E08F7"/>
    <w:rPr>
      <w:vertAlign w:val="superscript"/>
    </w:rPr>
  </w:style>
  <w:style w:type="character" w:styleId="a7">
    <w:name w:val="Hyperlink"/>
    <w:basedOn w:val="a0"/>
    <w:uiPriority w:val="99"/>
    <w:unhideWhenUsed/>
    <w:rsid w:val="00E02F8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02335A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E5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9C6B7-F954-471A-B63A-DB73AD36D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2714</Words>
  <Characters>15474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Цепенникова Ирина Геннадьевна</dc:creator>
  <cp:keywords/>
  <dc:description/>
  <cp:lastModifiedBy>Женя</cp:lastModifiedBy>
  <cp:revision>4</cp:revision>
  <dcterms:created xsi:type="dcterms:W3CDTF">2020-06-17T13:39:00Z</dcterms:created>
  <dcterms:modified xsi:type="dcterms:W3CDTF">2020-06-19T07:58:00Z</dcterms:modified>
</cp:coreProperties>
</file>